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ayout w:type="fixed"/>
        <w:tblLook w:val="00A0"/>
      </w:tblPr>
      <w:tblGrid>
        <w:gridCol w:w="1384"/>
        <w:gridCol w:w="5924"/>
        <w:gridCol w:w="2865"/>
      </w:tblGrid>
      <w:tr w:rsidR="00DC1368" w:rsidRPr="00784D97" w:rsidTr="00784D97">
        <w:tc>
          <w:tcPr>
            <w:tcW w:w="1384" w:type="dxa"/>
            <w:vMerge w:val="restart"/>
          </w:tcPr>
          <w:p w:rsidR="00DC1368" w:rsidRPr="00F84B74" w:rsidRDefault="00DC1368" w:rsidP="00DA341B">
            <w:pPr>
              <w:ind w:left="-142"/>
              <w:rPr>
                <w:b/>
                <w:sz w:val="20"/>
                <w:szCs w:val="20"/>
                <w:lang w:val="ro-RO" w:eastAsia="ro-RO"/>
              </w:rPr>
            </w:pPr>
            <w:r w:rsidRPr="00F84B74">
              <w:rPr>
                <w:rFonts w:ascii="Tahoma" w:hAnsi="Tahoma" w:cs="Tahoma"/>
                <w:b/>
                <w:sz w:val="20"/>
                <w:szCs w:val="20"/>
              </w:rPr>
              <w:t xml:space="preserve">         </w:t>
            </w:r>
            <w:r w:rsidRPr="00F8289C">
              <w:rPr>
                <w:noProof/>
                <w:sz w:val="20"/>
                <w:szCs w:val="20"/>
                <w:lang w:val="ro-RO" w:eastAsia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41.25pt;height:45pt;visibility:visible">
                  <v:imagedata r:id="rId5" o:title=""/>
                </v:shape>
              </w:pict>
            </w:r>
          </w:p>
        </w:tc>
        <w:tc>
          <w:tcPr>
            <w:tcW w:w="5924" w:type="dxa"/>
          </w:tcPr>
          <w:p w:rsidR="00DC1368" w:rsidRPr="00F84B74" w:rsidRDefault="00DC1368" w:rsidP="00DA341B">
            <w:pPr>
              <w:jc w:val="center"/>
              <w:rPr>
                <w:b/>
                <w:sz w:val="20"/>
                <w:szCs w:val="20"/>
                <w:lang w:val="ro-RO" w:eastAsia="ro-RO"/>
              </w:rPr>
            </w:pPr>
            <w:r w:rsidRPr="00F84B74">
              <w:rPr>
                <w:b/>
                <w:sz w:val="20"/>
                <w:szCs w:val="20"/>
                <w:lang w:val="ro-RO" w:eastAsia="ro-RO"/>
              </w:rPr>
              <w:t>R O M Â N I A</w:t>
            </w:r>
          </w:p>
        </w:tc>
        <w:tc>
          <w:tcPr>
            <w:tcW w:w="2865" w:type="dxa"/>
            <w:vMerge w:val="restart"/>
          </w:tcPr>
          <w:p w:rsidR="00DC1368" w:rsidRPr="00F84B74" w:rsidRDefault="00DC1368" w:rsidP="00DA341B">
            <w:pPr>
              <w:jc w:val="center"/>
              <w:rPr>
                <w:b/>
                <w:sz w:val="20"/>
                <w:szCs w:val="20"/>
                <w:lang w:val="ro-RO" w:eastAsia="ro-RO"/>
              </w:rPr>
            </w:pPr>
            <w:r w:rsidRPr="00F84B74">
              <w:rPr>
                <w:b/>
                <w:sz w:val="20"/>
                <w:szCs w:val="20"/>
                <w:lang w:val="ro-RO" w:eastAsia="ro-RO"/>
              </w:rPr>
              <w:t>NESECRET</w:t>
            </w:r>
          </w:p>
          <w:p w:rsidR="00DC1368" w:rsidRDefault="00DC1368" w:rsidP="00784D97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B74">
              <w:rPr>
                <w:sz w:val="20"/>
                <w:szCs w:val="20"/>
                <w:lang w:val="ro-RO" w:eastAsia="ro-RO"/>
              </w:rPr>
              <w:t>Iași</w:t>
            </w:r>
          </w:p>
          <w:p w:rsidR="00DC1368" w:rsidRPr="00F84B74" w:rsidRDefault="00DC1368" w:rsidP="00784D97">
            <w:pPr>
              <w:jc w:val="both"/>
              <w:rPr>
                <w:sz w:val="20"/>
                <w:szCs w:val="20"/>
                <w:lang w:val="ro-RO" w:eastAsia="ro-RO"/>
              </w:rPr>
            </w:pPr>
            <w:r w:rsidRPr="00F84B74">
              <w:rPr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sz w:val="20"/>
                <w:szCs w:val="20"/>
                <w:lang w:val="ro-RO" w:eastAsia="ro-RO"/>
              </w:rPr>
              <w:t>Nr.  52197</w:t>
            </w:r>
            <w:r w:rsidRPr="00F84B74">
              <w:rPr>
                <w:sz w:val="20"/>
                <w:szCs w:val="20"/>
                <w:lang w:val="ro-RO" w:eastAsia="ro-RO"/>
              </w:rPr>
              <w:t xml:space="preserve">   </w:t>
            </w:r>
            <w:r>
              <w:rPr>
                <w:sz w:val="20"/>
                <w:szCs w:val="20"/>
                <w:lang w:val="ro-RO" w:eastAsia="ro-RO"/>
              </w:rPr>
              <w:t>din</w:t>
            </w:r>
            <w:r w:rsidRPr="00F84B74">
              <w:rPr>
                <w:sz w:val="20"/>
                <w:szCs w:val="20"/>
                <w:lang w:val="ro-RO" w:eastAsia="ro-RO"/>
              </w:rPr>
              <w:t xml:space="preserve">  </w:t>
            </w:r>
            <w:r>
              <w:rPr>
                <w:sz w:val="20"/>
                <w:szCs w:val="20"/>
                <w:lang w:val="ro-RO" w:eastAsia="ro-RO"/>
              </w:rPr>
              <w:t>18.06.2025</w:t>
            </w:r>
            <w:r w:rsidRPr="00F84B74">
              <w:rPr>
                <w:sz w:val="20"/>
                <w:szCs w:val="20"/>
                <w:lang w:val="ro-RO" w:eastAsia="ro-RO"/>
              </w:rPr>
              <w:t xml:space="preserve">               </w:t>
            </w:r>
          </w:p>
          <w:p w:rsidR="00DC1368" w:rsidRPr="00F84B74" w:rsidRDefault="00DC1368" w:rsidP="00DA341B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B74">
              <w:rPr>
                <w:sz w:val="20"/>
                <w:szCs w:val="20"/>
                <w:lang w:val="ro-RO" w:eastAsia="ro-RO"/>
              </w:rPr>
              <w:t>Exemplar unic</w:t>
            </w:r>
          </w:p>
        </w:tc>
      </w:tr>
      <w:tr w:rsidR="00DC1368" w:rsidRPr="00784D97" w:rsidTr="00784D97">
        <w:tc>
          <w:tcPr>
            <w:tcW w:w="1384" w:type="dxa"/>
            <w:vMerge/>
          </w:tcPr>
          <w:p w:rsidR="00DC1368" w:rsidRPr="00F84B74" w:rsidRDefault="00DC1368" w:rsidP="00DA341B">
            <w:pPr>
              <w:rPr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924" w:type="dxa"/>
          </w:tcPr>
          <w:p w:rsidR="00DC1368" w:rsidRPr="00F84B74" w:rsidRDefault="00DC1368" w:rsidP="00DA341B">
            <w:pPr>
              <w:jc w:val="center"/>
              <w:rPr>
                <w:b/>
                <w:sz w:val="20"/>
                <w:szCs w:val="20"/>
                <w:lang w:val="ro-RO" w:eastAsia="ro-RO"/>
              </w:rPr>
            </w:pPr>
            <w:r w:rsidRPr="00F84B74">
              <w:rPr>
                <w:b/>
                <w:sz w:val="20"/>
                <w:szCs w:val="20"/>
                <w:lang w:val="ro-RO" w:eastAsia="ro-RO"/>
              </w:rPr>
              <w:t>MINISTERUL AFACERILOR INTERNE</w:t>
            </w:r>
          </w:p>
        </w:tc>
        <w:tc>
          <w:tcPr>
            <w:tcW w:w="2865" w:type="dxa"/>
            <w:vMerge/>
          </w:tcPr>
          <w:p w:rsidR="00DC1368" w:rsidRPr="00F84B74" w:rsidRDefault="00DC1368" w:rsidP="00DA341B">
            <w:pPr>
              <w:rPr>
                <w:b/>
                <w:sz w:val="20"/>
                <w:szCs w:val="20"/>
                <w:lang w:val="ro-RO" w:eastAsia="ro-RO"/>
              </w:rPr>
            </w:pPr>
          </w:p>
        </w:tc>
      </w:tr>
      <w:tr w:rsidR="00DC1368" w:rsidRPr="00784D97" w:rsidTr="00784D97">
        <w:tc>
          <w:tcPr>
            <w:tcW w:w="1384" w:type="dxa"/>
            <w:vMerge/>
          </w:tcPr>
          <w:p w:rsidR="00DC1368" w:rsidRPr="00F84B74" w:rsidRDefault="00DC1368" w:rsidP="00DA341B">
            <w:pPr>
              <w:rPr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924" w:type="dxa"/>
          </w:tcPr>
          <w:p w:rsidR="00DC1368" w:rsidRPr="00F84B74" w:rsidRDefault="00DC1368" w:rsidP="00DA341B">
            <w:pPr>
              <w:jc w:val="center"/>
              <w:rPr>
                <w:b/>
                <w:sz w:val="20"/>
                <w:szCs w:val="20"/>
                <w:lang w:val="ro-RO" w:eastAsia="ro-RO"/>
              </w:rPr>
            </w:pPr>
            <w:r w:rsidRPr="00F84B74">
              <w:rPr>
                <w:b/>
                <w:sz w:val="20"/>
                <w:szCs w:val="20"/>
                <w:lang w:val="ro-RO" w:eastAsia="ro-RO"/>
              </w:rPr>
              <w:t>INSPECTORATUL GENERAL AL POLIŢIEI ROMÂNE</w:t>
            </w:r>
          </w:p>
        </w:tc>
        <w:tc>
          <w:tcPr>
            <w:tcW w:w="2865" w:type="dxa"/>
            <w:vMerge/>
          </w:tcPr>
          <w:p w:rsidR="00DC1368" w:rsidRPr="00F84B74" w:rsidRDefault="00DC1368" w:rsidP="00DA341B">
            <w:pPr>
              <w:rPr>
                <w:b/>
                <w:sz w:val="20"/>
                <w:szCs w:val="20"/>
                <w:lang w:val="ro-RO" w:eastAsia="ro-RO"/>
              </w:rPr>
            </w:pPr>
          </w:p>
        </w:tc>
      </w:tr>
      <w:tr w:rsidR="00DC1368" w:rsidRPr="00784D97" w:rsidTr="00784D97">
        <w:tc>
          <w:tcPr>
            <w:tcW w:w="1384" w:type="dxa"/>
            <w:vMerge/>
          </w:tcPr>
          <w:p w:rsidR="00DC1368" w:rsidRPr="00F84B74" w:rsidRDefault="00DC1368" w:rsidP="00DA341B">
            <w:pPr>
              <w:rPr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924" w:type="dxa"/>
          </w:tcPr>
          <w:p w:rsidR="00DC1368" w:rsidRPr="00F84B74" w:rsidRDefault="00DC1368" w:rsidP="00DA341B">
            <w:pPr>
              <w:jc w:val="center"/>
              <w:rPr>
                <w:b/>
                <w:sz w:val="20"/>
                <w:szCs w:val="20"/>
                <w:lang w:val="ro-RO" w:eastAsia="ro-RO"/>
              </w:rPr>
            </w:pPr>
            <w:r w:rsidRPr="00F84B74">
              <w:rPr>
                <w:b/>
                <w:sz w:val="20"/>
                <w:szCs w:val="20"/>
                <w:lang w:val="ro-RO" w:eastAsia="ro-RO"/>
              </w:rPr>
              <w:t>INSPECTORATUL DE POLIŢIE JUDEŢEAN IAŞI</w:t>
            </w:r>
          </w:p>
        </w:tc>
        <w:tc>
          <w:tcPr>
            <w:tcW w:w="2865" w:type="dxa"/>
            <w:vMerge/>
          </w:tcPr>
          <w:p w:rsidR="00DC1368" w:rsidRPr="00F84B74" w:rsidRDefault="00DC1368" w:rsidP="00DA341B">
            <w:pPr>
              <w:rPr>
                <w:b/>
                <w:sz w:val="20"/>
                <w:szCs w:val="20"/>
                <w:lang w:val="ro-RO" w:eastAsia="ro-RO"/>
              </w:rPr>
            </w:pPr>
          </w:p>
        </w:tc>
      </w:tr>
      <w:tr w:rsidR="00DC1368" w:rsidRPr="00784D97" w:rsidTr="00784D97">
        <w:tc>
          <w:tcPr>
            <w:tcW w:w="1384" w:type="dxa"/>
            <w:vMerge/>
          </w:tcPr>
          <w:p w:rsidR="00DC1368" w:rsidRPr="00F84B74" w:rsidRDefault="00DC1368" w:rsidP="00DA341B">
            <w:pPr>
              <w:rPr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924" w:type="dxa"/>
          </w:tcPr>
          <w:p w:rsidR="00DC1368" w:rsidRPr="00F84B74" w:rsidRDefault="00DC1368" w:rsidP="00746CAE">
            <w:pPr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 xml:space="preserve">                                 </w:t>
            </w:r>
          </w:p>
        </w:tc>
        <w:tc>
          <w:tcPr>
            <w:tcW w:w="2865" w:type="dxa"/>
            <w:vMerge/>
          </w:tcPr>
          <w:p w:rsidR="00DC1368" w:rsidRPr="00F84B74" w:rsidRDefault="00DC1368" w:rsidP="00DA341B">
            <w:pPr>
              <w:rPr>
                <w:b/>
                <w:sz w:val="20"/>
                <w:szCs w:val="20"/>
                <w:lang w:val="ro-RO" w:eastAsia="ro-RO"/>
              </w:rPr>
            </w:pPr>
          </w:p>
        </w:tc>
      </w:tr>
      <w:tr w:rsidR="00DC1368" w:rsidRPr="00784D97" w:rsidTr="00784D97">
        <w:tc>
          <w:tcPr>
            <w:tcW w:w="1384" w:type="dxa"/>
            <w:vMerge/>
          </w:tcPr>
          <w:p w:rsidR="00DC1368" w:rsidRPr="00F84B74" w:rsidRDefault="00DC1368" w:rsidP="00DA341B">
            <w:pPr>
              <w:rPr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924" w:type="dxa"/>
          </w:tcPr>
          <w:p w:rsidR="00DC1368" w:rsidRPr="00F84B74" w:rsidRDefault="00DC1368" w:rsidP="005A6DE6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865" w:type="dxa"/>
            <w:vMerge/>
          </w:tcPr>
          <w:p w:rsidR="00DC1368" w:rsidRPr="00F84B74" w:rsidRDefault="00DC1368" w:rsidP="00DA341B">
            <w:pPr>
              <w:rPr>
                <w:b/>
                <w:sz w:val="20"/>
                <w:szCs w:val="20"/>
                <w:lang w:val="ro-RO" w:eastAsia="ro-RO"/>
              </w:rPr>
            </w:pPr>
          </w:p>
        </w:tc>
      </w:tr>
    </w:tbl>
    <w:p w:rsidR="00DC1368" w:rsidRPr="00784D97" w:rsidRDefault="00DC1368" w:rsidP="00CC265C">
      <w:pPr>
        <w:ind w:right="-216"/>
        <w:rPr>
          <w:sz w:val="20"/>
          <w:szCs w:val="20"/>
          <w:lang w:val="ro-RO"/>
        </w:rPr>
      </w:pPr>
      <w:r w:rsidRPr="00784D97">
        <w:rPr>
          <w:sz w:val="20"/>
          <w:szCs w:val="20"/>
          <w:lang w:val="ro-RO"/>
        </w:rPr>
        <w:t xml:space="preserve">               </w:t>
      </w:r>
    </w:p>
    <w:p w:rsidR="00DC1368" w:rsidRPr="00784D97" w:rsidRDefault="00DC1368" w:rsidP="00E41A1B">
      <w:pPr>
        <w:jc w:val="center"/>
        <w:rPr>
          <w:sz w:val="32"/>
          <w:szCs w:val="32"/>
          <w:lang w:val="ro-RO"/>
        </w:rPr>
      </w:pPr>
    </w:p>
    <w:p w:rsidR="00DC1368" w:rsidRPr="00315A88" w:rsidRDefault="00DC1368" w:rsidP="00E41A1B">
      <w:pPr>
        <w:jc w:val="center"/>
        <w:rPr>
          <w:b/>
          <w:sz w:val="32"/>
          <w:szCs w:val="32"/>
          <w:lang w:val="ro-RO"/>
        </w:rPr>
      </w:pPr>
      <w:r w:rsidRPr="00784D97">
        <w:rPr>
          <w:b/>
          <w:sz w:val="32"/>
          <w:szCs w:val="32"/>
          <w:lang w:val="fr-FR"/>
        </w:rPr>
        <w:t>ANUN</w:t>
      </w:r>
      <w:r w:rsidRPr="00315A88">
        <w:rPr>
          <w:b/>
          <w:sz w:val="32"/>
          <w:szCs w:val="32"/>
          <w:lang w:val="ro-RO"/>
        </w:rPr>
        <w:t>Ţ</w:t>
      </w:r>
    </w:p>
    <w:p w:rsidR="00DC1368" w:rsidRPr="00DB6B00" w:rsidRDefault="00DC1368" w:rsidP="00DB6B00">
      <w:pPr>
        <w:jc w:val="center"/>
        <w:rPr>
          <w:sz w:val="28"/>
          <w:szCs w:val="28"/>
          <w:lang w:val="ro-RO"/>
        </w:rPr>
      </w:pPr>
      <w:r w:rsidRPr="00DB6B00">
        <w:rPr>
          <w:sz w:val="28"/>
          <w:szCs w:val="28"/>
          <w:lang w:val="ro-RO"/>
        </w:rPr>
        <w:t>În atenţia candidaţilor înscrişi la concursul de admitere la Universitatea Naţională de Apărare „Carol I” şi Academia Națională de Informații ”Mihai Viteazul”</w:t>
      </w:r>
    </w:p>
    <w:p w:rsidR="00DC1368" w:rsidRPr="00DB6B00" w:rsidRDefault="00DC1368" w:rsidP="00E41A1B">
      <w:pPr>
        <w:jc w:val="center"/>
        <w:rPr>
          <w:sz w:val="28"/>
          <w:szCs w:val="28"/>
          <w:lang w:val="ro-RO"/>
        </w:rPr>
      </w:pPr>
    </w:p>
    <w:p w:rsidR="00DC1368" w:rsidRDefault="00DC1368" w:rsidP="00092404">
      <w:pPr>
        <w:rPr>
          <w:sz w:val="16"/>
          <w:szCs w:val="16"/>
          <w:lang w:val="ro-RO"/>
        </w:rPr>
      </w:pPr>
      <w:r>
        <w:rPr>
          <w:sz w:val="32"/>
          <w:szCs w:val="32"/>
          <w:lang w:val="ro-RO"/>
        </w:rPr>
        <w:t xml:space="preserve"> </w:t>
      </w:r>
      <w:r>
        <w:rPr>
          <w:sz w:val="32"/>
          <w:szCs w:val="32"/>
          <w:lang w:val="ro-RO"/>
        </w:rPr>
        <w:tab/>
      </w:r>
    </w:p>
    <w:p w:rsidR="00DC1368" w:rsidRPr="00CC6A28" w:rsidRDefault="00DC1368" w:rsidP="00CC6A28">
      <w:pPr>
        <w:spacing w:line="276" w:lineRule="auto"/>
        <w:rPr>
          <w:sz w:val="16"/>
          <w:szCs w:val="16"/>
          <w:lang w:val="ro-RO"/>
        </w:rPr>
      </w:pPr>
    </w:p>
    <w:p w:rsidR="00DC1368" w:rsidRDefault="00DC1368" w:rsidP="00421B95">
      <w:pPr>
        <w:spacing w:line="360" w:lineRule="auto"/>
        <w:jc w:val="both"/>
        <w:rPr>
          <w:lang w:val="ro-RO"/>
        </w:rPr>
      </w:pPr>
      <w:r w:rsidRPr="00190C81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ab/>
      </w:r>
      <w:r w:rsidRPr="00BB43D7">
        <w:rPr>
          <w:lang w:val="ro-RO"/>
        </w:rPr>
        <w:t xml:space="preserve">Vă aducem la cunoştinţă că </w:t>
      </w:r>
      <w:r w:rsidRPr="00BB43D7">
        <w:rPr>
          <w:b/>
          <w:lang w:val="ro-RO"/>
        </w:rPr>
        <w:t>proba de evaluare a performanţelor fizice</w:t>
      </w:r>
      <w:r w:rsidRPr="00BB43D7">
        <w:rPr>
          <w:lang w:val="ro-RO"/>
        </w:rPr>
        <w:t xml:space="preserve"> se va desfăşura</w:t>
      </w:r>
      <w:r>
        <w:rPr>
          <w:lang w:val="ro-RO"/>
        </w:rPr>
        <w:t xml:space="preserve">, conform tabelului de mai jos, la </w:t>
      </w:r>
      <w:r w:rsidRPr="00092404">
        <w:rPr>
          <w:b/>
          <w:lang w:val="ro-RO"/>
        </w:rPr>
        <w:t>Academia de Poliţie</w:t>
      </w:r>
      <w:r>
        <w:rPr>
          <w:lang w:val="ro-RO"/>
        </w:rPr>
        <w:t xml:space="preserve"> </w:t>
      </w:r>
      <w:r w:rsidRPr="001F3C51">
        <w:rPr>
          <w:i/>
          <w:lang w:val="ro-RO"/>
        </w:rPr>
        <w:t>Alexandru Ioan Cuza</w:t>
      </w:r>
      <w:r>
        <w:rPr>
          <w:lang w:val="ro-RO"/>
        </w:rPr>
        <w:t xml:space="preserve"> din Bucureşti.</w:t>
      </w:r>
    </w:p>
    <w:p w:rsidR="00DC1368" w:rsidRPr="00BB43D7" w:rsidRDefault="00DC1368" w:rsidP="00421B95">
      <w:pPr>
        <w:spacing w:line="360" w:lineRule="auto"/>
        <w:jc w:val="both"/>
        <w:rPr>
          <w:i/>
          <w:u w:val="single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700"/>
        <w:gridCol w:w="1980"/>
        <w:gridCol w:w="4210"/>
      </w:tblGrid>
      <w:tr w:rsidR="00DC1368" w:rsidTr="00C86245">
        <w:tc>
          <w:tcPr>
            <w:tcW w:w="1368" w:type="dxa"/>
          </w:tcPr>
          <w:p w:rsidR="00DC1368" w:rsidRPr="00C86245" w:rsidRDefault="00DC1368" w:rsidP="00C86245">
            <w:pPr>
              <w:spacing w:line="276" w:lineRule="auto"/>
              <w:rPr>
                <w:b/>
                <w:lang w:val="ro-RO"/>
              </w:rPr>
            </w:pPr>
            <w:r w:rsidRPr="00C86245">
              <w:rPr>
                <w:b/>
                <w:lang w:val="ro-RO"/>
              </w:rPr>
              <w:t>ZIUA</w:t>
            </w:r>
          </w:p>
        </w:tc>
        <w:tc>
          <w:tcPr>
            <w:tcW w:w="2700" w:type="dxa"/>
          </w:tcPr>
          <w:p w:rsidR="00DC1368" w:rsidRPr="00C86245" w:rsidRDefault="00DC1368" w:rsidP="00C86245">
            <w:pPr>
              <w:spacing w:line="276" w:lineRule="auto"/>
              <w:rPr>
                <w:b/>
                <w:lang w:val="ro-RO"/>
              </w:rPr>
            </w:pPr>
            <w:r w:rsidRPr="00C86245">
              <w:rPr>
                <w:b/>
                <w:lang w:val="ro-RO"/>
              </w:rPr>
              <w:t>ORA ACCES</w:t>
            </w:r>
          </w:p>
        </w:tc>
        <w:tc>
          <w:tcPr>
            <w:tcW w:w="1980" w:type="dxa"/>
          </w:tcPr>
          <w:p w:rsidR="00DC1368" w:rsidRPr="00C86245" w:rsidRDefault="00DC1368" w:rsidP="00C86245">
            <w:pPr>
              <w:spacing w:line="276" w:lineRule="auto"/>
              <w:rPr>
                <w:b/>
                <w:lang w:val="ro-RO"/>
              </w:rPr>
            </w:pPr>
            <w:r w:rsidRPr="00C86245">
              <w:rPr>
                <w:b/>
                <w:lang w:val="ro-RO"/>
              </w:rPr>
              <w:t>NR. SERIE</w:t>
            </w:r>
          </w:p>
        </w:tc>
        <w:tc>
          <w:tcPr>
            <w:tcW w:w="4210" w:type="dxa"/>
          </w:tcPr>
          <w:p w:rsidR="00DC1368" w:rsidRPr="00C86245" w:rsidRDefault="00DC1368" w:rsidP="00C86245">
            <w:pPr>
              <w:spacing w:line="276" w:lineRule="auto"/>
              <w:rPr>
                <w:b/>
                <w:lang w:val="ro-RO"/>
              </w:rPr>
            </w:pPr>
            <w:r w:rsidRPr="00C86245">
              <w:rPr>
                <w:b/>
                <w:lang w:val="ro-RO"/>
              </w:rPr>
              <w:t>INSTITUŢIA DE ÎNVĂŢĂMÂNT</w:t>
            </w:r>
          </w:p>
        </w:tc>
      </w:tr>
      <w:tr w:rsidR="00DC1368" w:rsidTr="00C86245">
        <w:tc>
          <w:tcPr>
            <w:tcW w:w="1368" w:type="dxa"/>
            <w:vMerge w:val="restart"/>
          </w:tcPr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  <w:r w:rsidRPr="00C86245">
              <w:rPr>
                <w:lang w:val="ro-RO"/>
              </w:rPr>
              <w:t>22.06.2025</w:t>
            </w:r>
          </w:p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  <w:r w:rsidRPr="00C86245">
              <w:rPr>
                <w:lang w:val="ro-RO"/>
              </w:rPr>
              <w:t>Duminică</w:t>
            </w:r>
          </w:p>
        </w:tc>
        <w:tc>
          <w:tcPr>
            <w:tcW w:w="2700" w:type="dxa"/>
          </w:tcPr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  <w:r w:rsidRPr="00C86245">
              <w:rPr>
                <w:lang w:val="ro-RO"/>
              </w:rPr>
              <w:t>07.00</w:t>
            </w:r>
          </w:p>
        </w:tc>
        <w:tc>
          <w:tcPr>
            <w:tcW w:w="1980" w:type="dxa"/>
          </w:tcPr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  <w:r w:rsidRPr="00C86245">
              <w:rPr>
                <w:lang w:val="ro-RO"/>
              </w:rPr>
              <w:t>3</w:t>
            </w:r>
          </w:p>
        </w:tc>
        <w:tc>
          <w:tcPr>
            <w:tcW w:w="4210" w:type="dxa"/>
          </w:tcPr>
          <w:p w:rsidR="00DC1368" w:rsidRPr="00C86245" w:rsidRDefault="00DC1368" w:rsidP="00C86245">
            <w:pPr>
              <w:spacing w:line="276" w:lineRule="auto"/>
              <w:jc w:val="both"/>
              <w:rPr>
                <w:lang w:val="ro-RO"/>
              </w:rPr>
            </w:pPr>
            <w:r w:rsidRPr="00C86245">
              <w:rPr>
                <w:lang w:val="ro-RO"/>
              </w:rPr>
              <w:t xml:space="preserve">Academia Naţională de Informaţii </w:t>
            </w:r>
            <w:r w:rsidRPr="00C86245">
              <w:rPr>
                <w:i/>
                <w:lang w:val="ro-RO"/>
              </w:rPr>
              <w:t>Mihai Viteazul</w:t>
            </w:r>
            <w:r w:rsidRPr="00C86245">
              <w:rPr>
                <w:lang w:val="ro-RO"/>
              </w:rPr>
              <w:t xml:space="preserve"> (A-M)</w:t>
            </w:r>
          </w:p>
        </w:tc>
      </w:tr>
      <w:tr w:rsidR="00DC1368" w:rsidTr="00C86245">
        <w:tc>
          <w:tcPr>
            <w:tcW w:w="1368" w:type="dxa"/>
            <w:vMerge/>
          </w:tcPr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2700" w:type="dxa"/>
          </w:tcPr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  <w:r w:rsidRPr="00C86245">
              <w:rPr>
                <w:lang w:val="ro-RO"/>
              </w:rPr>
              <w:t>11.00</w:t>
            </w:r>
          </w:p>
        </w:tc>
        <w:tc>
          <w:tcPr>
            <w:tcW w:w="1980" w:type="dxa"/>
          </w:tcPr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  <w:r w:rsidRPr="00C86245">
              <w:rPr>
                <w:lang w:val="ro-RO"/>
              </w:rPr>
              <w:t>4</w:t>
            </w:r>
          </w:p>
        </w:tc>
        <w:tc>
          <w:tcPr>
            <w:tcW w:w="4210" w:type="dxa"/>
          </w:tcPr>
          <w:p w:rsidR="00DC1368" w:rsidRPr="00C86245" w:rsidRDefault="00DC1368" w:rsidP="00C86245">
            <w:pPr>
              <w:spacing w:line="276" w:lineRule="auto"/>
              <w:jc w:val="both"/>
              <w:rPr>
                <w:lang w:val="ro-RO"/>
              </w:rPr>
            </w:pPr>
            <w:r w:rsidRPr="00C86245">
              <w:rPr>
                <w:lang w:val="ro-RO"/>
              </w:rPr>
              <w:t xml:space="preserve">Academia Naţională de Informaţii </w:t>
            </w:r>
            <w:r w:rsidRPr="00C86245">
              <w:rPr>
                <w:i/>
                <w:lang w:val="ro-RO"/>
              </w:rPr>
              <w:t>Mihai Viteazul</w:t>
            </w:r>
            <w:r w:rsidRPr="00C86245">
              <w:rPr>
                <w:lang w:val="ro-RO"/>
              </w:rPr>
              <w:t xml:space="preserve"> (N-Z)</w:t>
            </w:r>
          </w:p>
        </w:tc>
      </w:tr>
      <w:tr w:rsidR="00DC1368" w:rsidTr="00C86245">
        <w:tc>
          <w:tcPr>
            <w:tcW w:w="1368" w:type="dxa"/>
          </w:tcPr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  <w:r w:rsidRPr="00C86245">
              <w:rPr>
                <w:lang w:val="ro-RO"/>
              </w:rPr>
              <w:t>23.06.2025</w:t>
            </w:r>
          </w:p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  <w:r w:rsidRPr="00C86245">
              <w:rPr>
                <w:lang w:val="ro-RO"/>
              </w:rPr>
              <w:t>Luni</w:t>
            </w:r>
          </w:p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2700" w:type="dxa"/>
          </w:tcPr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  <w:r w:rsidRPr="00C86245">
              <w:rPr>
                <w:lang w:val="ro-RO"/>
              </w:rPr>
              <w:t>11.00</w:t>
            </w:r>
          </w:p>
        </w:tc>
        <w:tc>
          <w:tcPr>
            <w:tcW w:w="1980" w:type="dxa"/>
          </w:tcPr>
          <w:p w:rsidR="00DC1368" w:rsidRPr="00C86245" w:rsidRDefault="00DC1368" w:rsidP="00C86245">
            <w:pPr>
              <w:spacing w:line="276" w:lineRule="auto"/>
              <w:jc w:val="center"/>
              <w:rPr>
                <w:lang w:val="ro-RO"/>
              </w:rPr>
            </w:pPr>
            <w:r w:rsidRPr="00C86245">
              <w:rPr>
                <w:lang w:val="ro-RO"/>
              </w:rPr>
              <w:t>6</w:t>
            </w:r>
          </w:p>
        </w:tc>
        <w:tc>
          <w:tcPr>
            <w:tcW w:w="4210" w:type="dxa"/>
          </w:tcPr>
          <w:p w:rsidR="00DC1368" w:rsidRPr="00C86245" w:rsidRDefault="00DC1368" w:rsidP="00C86245">
            <w:pPr>
              <w:spacing w:line="276" w:lineRule="auto"/>
              <w:jc w:val="both"/>
              <w:rPr>
                <w:lang w:val="ro-RO"/>
              </w:rPr>
            </w:pPr>
            <w:r w:rsidRPr="00C86245">
              <w:rPr>
                <w:lang w:val="ro-RO"/>
              </w:rPr>
              <w:t xml:space="preserve">Universitatea Naţională de Apărare </w:t>
            </w:r>
            <w:r w:rsidRPr="00C86245">
              <w:rPr>
                <w:i/>
                <w:lang w:val="ro-RO"/>
              </w:rPr>
              <w:t>Carol I</w:t>
            </w:r>
          </w:p>
        </w:tc>
      </w:tr>
    </w:tbl>
    <w:p w:rsidR="00DC1368" w:rsidRDefault="00DC1368" w:rsidP="000B19AC">
      <w:pPr>
        <w:spacing w:line="276" w:lineRule="auto"/>
        <w:jc w:val="both"/>
        <w:rPr>
          <w:sz w:val="28"/>
          <w:szCs w:val="28"/>
          <w:lang w:val="ro-RO"/>
        </w:rPr>
      </w:pPr>
    </w:p>
    <w:p w:rsidR="00DC1368" w:rsidRDefault="00DC1368" w:rsidP="001D5009">
      <w:pPr>
        <w:spacing w:line="276" w:lineRule="auto"/>
        <w:ind w:firstLine="720"/>
        <w:jc w:val="both"/>
        <w:rPr>
          <w:lang w:val="ro-RO"/>
        </w:rPr>
      </w:pPr>
      <w:r w:rsidRPr="001D5009">
        <w:rPr>
          <w:lang w:val="ro-RO"/>
        </w:rPr>
        <w:t xml:space="preserve">Candidaţii care au mai multe opţiuni se vor prezenta </w:t>
      </w:r>
      <w:r>
        <w:rPr>
          <w:lang w:val="ro-RO"/>
        </w:rPr>
        <w:t>la proba pentru evaluarea performanţei fizice potrivit primei instituţii planificate! (dacă este cazul, sunaţi la numerele de telefon 0232302114 sau 0232302115, pentru a intra în posesia informaţiilor necesare).</w:t>
      </w:r>
    </w:p>
    <w:p w:rsidR="00DC1368" w:rsidRPr="00A86ECF" w:rsidRDefault="00DC1368" w:rsidP="001D5009">
      <w:pPr>
        <w:spacing w:line="276" w:lineRule="auto"/>
        <w:ind w:firstLine="720"/>
        <w:jc w:val="both"/>
        <w:rPr>
          <w:b/>
          <w:lang w:val="ro-RO"/>
        </w:rPr>
      </w:pPr>
      <w:r w:rsidRPr="00A86ECF">
        <w:rPr>
          <w:b/>
          <w:lang w:val="ro-RO"/>
        </w:rPr>
        <w:t>Important:</w:t>
      </w:r>
    </w:p>
    <w:p w:rsidR="00DC1368" w:rsidRDefault="00DC1368" w:rsidP="007571B5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Proba se susţine o singură dată;</w:t>
      </w:r>
    </w:p>
    <w:p w:rsidR="00DC1368" w:rsidRDefault="00DC1368" w:rsidP="007571B5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Indiferent de cauze/motive, pe timpul şi după susţinerea probei, nu se admit reexaminări sau repetări ale parcurgerii traseului practic–aplicativ, sau ale obstacolelor din componenţa acestuia;</w:t>
      </w:r>
    </w:p>
    <w:p w:rsidR="00DC1368" w:rsidRDefault="00DC1368" w:rsidP="007571B5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La evaluarea performantei fizice a candidaţilor nu se admit contestaţii;</w:t>
      </w:r>
    </w:p>
    <w:p w:rsidR="00DC1368" w:rsidRDefault="00DC1368" w:rsidP="007571B5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Este interzis accesul candidaţilor la proba de evaluare a performanţei fizice cu unghii lungi, false si/sau alte materiale, care pot prezenta pericol de accidentare şi pot influenţa rezultatele obţinute;</w:t>
      </w:r>
    </w:p>
    <w:p w:rsidR="00DC1368" w:rsidRDefault="00DC1368" w:rsidP="007571B5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La susţinerea probei de evaluare a performanţei fizice constituie fraudă adăugarea de materiale care modifică forma şi lungimea naturală a unghiilor, de natură să influenţeze rezultatele obţinute. Frauda sau tentativa de fraudă dovedite se soluţionează prin întocmirea unui proces-verbal, semnat de supraveghetori, preşedintele şi secretarul comisiei de concurs, precum şi de candidat, din care să rezulte în ce a constat tentativa de frauda săvârşită, la care se ataşează proba/probele materiale.</w:t>
      </w:r>
    </w:p>
    <w:p w:rsidR="00DC1368" w:rsidRDefault="00DC1368" w:rsidP="007746B6">
      <w:pPr>
        <w:spacing w:line="276" w:lineRule="auto"/>
        <w:ind w:left="360"/>
        <w:jc w:val="both"/>
        <w:rPr>
          <w:lang w:val="ro-RO"/>
        </w:rPr>
      </w:pPr>
    </w:p>
    <w:p w:rsidR="00DC1368" w:rsidRPr="001D5009" w:rsidRDefault="00DC1368" w:rsidP="000E59CE">
      <w:pPr>
        <w:spacing w:line="276" w:lineRule="auto"/>
        <w:ind w:left="4320"/>
        <w:jc w:val="both"/>
        <w:rPr>
          <w:lang w:val="ro-RO"/>
        </w:rPr>
      </w:pPr>
      <w:r>
        <w:rPr>
          <w:lang w:val="ro-RO"/>
        </w:rPr>
        <w:t>Şeful S.R.U.</w:t>
      </w:r>
    </w:p>
    <w:sectPr w:rsidR="00DC1368" w:rsidRPr="001D5009" w:rsidSect="001645B2">
      <w:pgSz w:w="12240" w:h="15840"/>
      <w:pgMar w:top="851" w:right="758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856C0"/>
    <w:multiLevelType w:val="hybridMultilevel"/>
    <w:tmpl w:val="9C4A5904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137"/>
    <w:rsid w:val="00002812"/>
    <w:rsid w:val="000161E0"/>
    <w:rsid w:val="00023231"/>
    <w:rsid w:val="0005149A"/>
    <w:rsid w:val="000920D7"/>
    <w:rsid w:val="00092404"/>
    <w:rsid w:val="000B19AC"/>
    <w:rsid w:val="000E319F"/>
    <w:rsid w:val="000E59CE"/>
    <w:rsid w:val="000F78E7"/>
    <w:rsid w:val="00101ED2"/>
    <w:rsid w:val="00111605"/>
    <w:rsid w:val="001433C4"/>
    <w:rsid w:val="00153F74"/>
    <w:rsid w:val="00160A21"/>
    <w:rsid w:val="001645B2"/>
    <w:rsid w:val="0017302C"/>
    <w:rsid w:val="00180B06"/>
    <w:rsid w:val="00190C81"/>
    <w:rsid w:val="001B5E3B"/>
    <w:rsid w:val="001C6A93"/>
    <w:rsid w:val="001D5009"/>
    <w:rsid w:val="001F3C51"/>
    <w:rsid w:val="001F4A1F"/>
    <w:rsid w:val="002C237E"/>
    <w:rsid w:val="00315A88"/>
    <w:rsid w:val="00386336"/>
    <w:rsid w:val="00394B5C"/>
    <w:rsid w:val="003E5675"/>
    <w:rsid w:val="00421B95"/>
    <w:rsid w:val="004505E9"/>
    <w:rsid w:val="00456F4E"/>
    <w:rsid w:val="00472B61"/>
    <w:rsid w:val="00477629"/>
    <w:rsid w:val="004A04CC"/>
    <w:rsid w:val="004E0211"/>
    <w:rsid w:val="004E67A5"/>
    <w:rsid w:val="0050592D"/>
    <w:rsid w:val="0051575E"/>
    <w:rsid w:val="00531DEE"/>
    <w:rsid w:val="00575E80"/>
    <w:rsid w:val="0058351F"/>
    <w:rsid w:val="005A6DE6"/>
    <w:rsid w:val="005B0F5B"/>
    <w:rsid w:val="005D222C"/>
    <w:rsid w:val="00622F50"/>
    <w:rsid w:val="00666FAC"/>
    <w:rsid w:val="006908B5"/>
    <w:rsid w:val="0069479F"/>
    <w:rsid w:val="00695BC7"/>
    <w:rsid w:val="006A3C72"/>
    <w:rsid w:val="006C156A"/>
    <w:rsid w:val="007210D5"/>
    <w:rsid w:val="00746CAE"/>
    <w:rsid w:val="00756EBE"/>
    <w:rsid w:val="007571B5"/>
    <w:rsid w:val="007746B6"/>
    <w:rsid w:val="00784D97"/>
    <w:rsid w:val="007912BB"/>
    <w:rsid w:val="00793229"/>
    <w:rsid w:val="007B0563"/>
    <w:rsid w:val="007F3FC9"/>
    <w:rsid w:val="007F54D3"/>
    <w:rsid w:val="008624E4"/>
    <w:rsid w:val="008E617C"/>
    <w:rsid w:val="00920D9E"/>
    <w:rsid w:val="0092202E"/>
    <w:rsid w:val="009448C7"/>
    <w:rsid w:val="00956FA2"/>
    <w:rsid w:val="00991984"/>
    <w:rsid w:val="00994014"/>
    <w:rsid w:val="009C3943"/>
    <w:rsid w:val="009D194D"/>
    <w:rsid w:val="009D2466"/>
    <w:rsid w:val="009F67F9"/>
    <w:rsid w:val="00A7737B"/>
    <w:rsid w:val="00A86ECF"/>
    <w:rsid w:val="00AB7D0A"/>
    <w:rsid w:val="00B075D7"/>
    <w:rsid w:val="00B23137"/>
    <w:rsid w:val="00B34555"/>
    <w:rsid w:val="00B41CF6"/>
    <w:rsid w:val="00B964F6"/>
    <w:rsid w:val="00BA14A0"/>
    <w:rsid w:val="00BB43D7"/>
    <w:rsid w:val="00BF0C15"/>
    <w:rsid w:val="00C1183A"/>
    <w:rsid w:val="00C33E28"/>
    <w:rsid w:val="00C43AD9"/>
    <w:rsid w:val="00C616A7"/>
    <w:rsid w:val="00C708B8"/>
    <w:rsid w:val="00C86245"/>
    <w:rsid w:val="00CC265C"/>
    <w:rsid w:val="00CC6A28"/>
    <w:rsid w:val="00CD26C9"/>
    <w:rsid w:val="00D108D4"/>
    <w:rsid w:val="00D676A8"/>
    <w:rsid w:val="00D765A5"/>
    <w:rsid w:val="00D77568"/>
    <w:rsid w:val="00DA341B"/>
    <w:rsid w:val="00DB6B00"/>
    <w:rsid w:val="00DC1368"/>
    <w:rsid w:val="00DC343E"/>
    <w:rsid w:val="00DE2391"/>
    <w:rsid w:val="00E41A1B"/>
    <w:rsid w:val="00E5625E"/>
    <w:rsid w:val="00E90543"/>
    <w:rsid w:val="00EB2FB3"/>
    <w:rsid w:val="00EE38F2"/>
    <w:rsid w:val="00F8289C"/>
    <w:rsid w:val="00F84B74"/>
    <w:rsid w:val="00FD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5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265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265C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A6DE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111605"/>
    <w:pPr>
      <w:ind w:left="720"/>
      <w:contextualSpacing/>
    </w:pPr>
    <w:rPr>
      <w:lang w:val="ro-RO" w:eastAsia="ro-RO"/>
    </w:rPr>
  </w:style>
  <w:style w:type="table" w:styleId="TableGrid">
    <w:name w:val="Table Grid"/>
    <w:basedOn w:val="TableNormal"/>
    <w:uiPriority w:val="99"/>
    <w:locked/>
    <w:rsid w:val="00D676A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321</Words>
  <Characters>1863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vizitiu andrei IS</dc:creator>
  <cp:keywords/>
  <dc:description/>
  <cp:lastModifiedBy>popescu_daniela_IS</cp:lastModifiedBy>
  <cp:revision>2</cp:revision>
  <cp:lastPrinted>2021-12-11T11:38:00Z</cp:lastPrinted>
  <dcterms:created xsi:type="dcterms:W3CDTF">2025-06-18T08:18:00Z</dcterms:created>
  <dcterms:modified xsi:type="dcterms:W3CDTF">2025-06-18T08:18:00Z</dcterms:modified>
</cp:coreProperties>
</file>